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E00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0046" w:rsidRDefault="0010784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E0046" w:rsidRDefault="00107848">
            <w:pPr>
              <w:spacing w:after="0" w:line="240" w:lineRule="auto"/>
            </w:pPr>
            <w:r>
              <w:t>9312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0046" w:rsidRDefault="0010784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E0046" w:rsidRDefault="00107848">
            <w:pPr>
              <w:spacing w:after="0" w:line="240" w:lineRule="auto"/>
            </w:pPr>
            <w:r>
              <w:t>O.Š. OKUČANI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0046" w:rsidRDefault="0010784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E0046" w:rsidRDefault="00107848">
            <w:pPr>
              <w:spacing w:after="0" w:line="240" w:lineRule="auto"/>
            </w:pPr>
            <w:r>
              <w:t>31</w:t>
            </w:r>
          </w:p>
        </w:tc>
      </w:tr>
    </w:tbl>
    <w:p w:rsidR="003E0046" w:rsidRDefault="00107848">
      <w:r>
        <w:br/>
      </w:r>
    </w:p>
    <w:p w:rsidR="003E0046" w:rsidRDefault="0010784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E0046" w:rsidRDefault="0010784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E0046" w:rsidRDefault="0010784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1.797.638,13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1.938.371,56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1.792.026,97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2.070.877,89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132.506,33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391,2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1.471,61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391,2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138.263,82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Stupanjem na snagu novog Pravilnika o proračunskom računovodstvu i računskom planu NN 158/2023 i NN 154/24 članak 233. od 01.01.2025.  ukinuti su kontinuirani rashodi i radi toga za razdoblje od 1-12.mjeseca 2025. evidentirali smo 13 rashoda za plaću  12/2</w:t>
      </w:r>
      <w:r>
        <w:t>4, 01/25, 02/25, 03/25, 04/25, 05/25, 06/25, 07/25, 08/25, 09/25, 10/25 11/25 i 12/25  a 12 prihoda, te iz toga proizlazi manjak prihoda poslovanja.</w:t>
      </w:r>
    </w:p>
    <w:p w:rsidR="003E0046" w:rsidRDefault="00107848">
      <w:r>
        <w:lastRenderedPageBreak/>
        <w:br/>
      </w:r>
    </w:p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1.797.638,13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1.938.371,56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prihoda rezultat je povećanja plaća povećanja osnovice te plaće pomoćnika u nastavi, povećanje je također zbog </w:t>
      </w:r>
      <w:proofErr w:type="spellStart"/>
      <w:r>
        <w:t>kapiatalnih</w:t>
      </w:r>
      <w:proofErr w:type="spellEnd"/>
      <w:r>
        <w:t xml:space="preserve"> pomoći.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5.624,86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761,3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Kapitalne pomoći MZOM lektira te udžbenici 1.373,73€  i pomoć Općina </w:t>
      </w:r>
      <w:proofErr w:type="spellStart"/>
      <w:r>
        <w:t>Okučani</w:t>
      </w:r>
      <w:proofErr w:type="spellEnd"/>
      <w:r>
        <w:t xml:space="preserve"> 4.251,13€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između proračunskih korisnika istog proračuna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Konto 639 odnosi se na plaće i materijalna prava Pomoćnici u nastavi 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Prihodi od iznajmljivana </w:t>
      </w:r>
      <w:proofErr w:type="spellStart"/>
      <w:r>
        <w:t>sprtske</w:t>
      </w:r>
      <w:proofErr w:type="spellEnd"/>
      <w:r>
        <w:t xml:space="preserve"> dvorane odnosno korištenje dvorane.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88.013,30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90.596,81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Prihodi od Osnivača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1.251.289,36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1.458.108,86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osnovice plaće tijekom 2025. rezultiralo je povećanjem.</w:t>
      </w:r>
    </w:p>
    <w:p w:rsidR="003E0046" w:rsidRDefault="00107848">
      <w:r>
        <w:t>1. siječnja – 31. siječnja 2025.: 947,18 € bruto.</w:t>
      </w:r>
      <w:r>
        <w:br/>
        <w:t>1. veljače – 31. kolovoza 2025.: 975,60 € bruto (povećanje od 3%).</w:t>
      </w:r>
      <w:r>
        <w:br/>
        <w:t>od 1. rujna 2025. nadalje: 1.004,87 € bruto (dodatno povećanje od 3%).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19.334,86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41.285,90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prekovremenog rada- zamjene nenazočnih zaposlenika, bolovanja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14.943,60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20.310,04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posebni uvjeti rada, rad u kombiniranim razrednim odjelima, rad po </w:t>
      </w:r>
      <w:proofErr w:type="spellStart"/>
      <w:r>
        <w:t>prilagoženom</w:t>
      </w:r>
      <w:proofErr w:type="spellEnd"/>
      <w:r>
        <w:t xml:space="preserve"> programu te rad u posebnom odjelu.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207.334,81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250.310,29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uvjetovano povećanjem osnovice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686,0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stručnog usavršavanja- sudjelovanje u ERASMUS+ KA210-SCH Projekt MENS SANA IN CORPORE SANO Italija i Mađarska. Sudjeluju četiri učiteljice.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12.637,91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17.540,85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troška uredskog materijala rezultat povećanja cijena.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38.723,87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40.858,75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troška energije hladnije razdoblje nego 2024. i poskupljenje cijena.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188,3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Nabava sitnog </w:t>
      </w:r>
      <w:proofErr w:type="spellStart"/>
      <w:r>
        <w:t>iventara</w:t>
      </w:r>
      <w:proofErr w:type="spellEnd"/>
      <w:r>
        <w:t xml:space="preserve"> puhač lišća 2 kom, usisavač te pribor za jelo za učenike.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iznosa poskupljenje poštarine.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Drugi dohodak pravoslavni vjeronauk sredstva MZOM.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ostalih usluga - popravak fotokopirnog stroja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lastRenderedPageBreak/>
        <w:t xml:space="preserve">Povećanje reprezentacije proslava 30 godina Osnovne škole </w:t>
      </w:r>
      <w:proofErr w:type="spellStart"/>
      <w:r>
        <w:t>Okučani</w:t>
      </w:r>
      <w:proofErr w:type="spellEnd"/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Konto 37221 imali smo sufinanciranje cijene prijevoza učenika s teškoćama u školskoj godini 2024/2025, u 2025/2026 toga nemamo.</w:t>
      </w:r>
    </w:p>
    <w:p w:rsidR="003E0046" w:rsidRDefault="00107848">
      <w:r>
        <w:t xml:space="preserve">3722 </w:t>
      </w:r>
      <w:proofErr w:type="spellStart"/>
      <w:r>
        <w:t>užbenici</w:t>
      </w:r>
      <w:proofErr w:type="spellEnd"/>
      <w:r>
        <w:t>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132.506,33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 U 2025. ostvareni su prihodi u iznosu 1.938.371,56 a rashodi 3 2.070.877,89€ što iznosi MANJAK PRIHODA POSLOVANJA 132.506,33€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145.226,07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2217,2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Obračunati prihodi poslovanja 16/96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Nabavljene 3 klima jedinice pomoć </w:t>
      </w:r>
      <w:proofErr w:type="spellStart"/>
      <w:r>
        <w:t>Opčina</w:t>
      </w:r>
      <w:proofErr w:type="spellEnd"/>
      <w:r>
        <w:t xml:space="preserve"> </w:t>
      </w:r>
      <w:proofErr w:type="spellStart"/>
      <w:r>
        <w:t>Okučani</w:t>
      </w:r>
      <w:proofErr w:type="spellEnd"/>
      <w:r>
        <w:t>, naglavni mikrofoni te knjige.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511,4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Nabavljene 3 klima jedinice pomoć </w:t>
      </w:r>
      <w:proofErr w:type="spellStart"/>
      <w:r>
        <w:t>Opčina</w:t>
      </w:r>
      <w:proofErr w:type="spellEnd"/>
      <w:r>
        <w:t xml:space="preserve"> </w:t>
      </w:r>
      <w:proofErr w:type="spellStart"/>
      <w:r>
        <w:t>Okučani</w:t>
      </w:r>
      <w:proofErr w:type="spellEnd"/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Nabavljeni naglavni mikrofoni pomoć Općina </w:t>
      </w:r>
      <w:proofErr w:type="spellStart"/>
      <w:r>
        <w:t>Okučani</w:t>
      </w:r>
      <w:proofErr w:type="spellEnd"/>
      <w:r>
        <w:t>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191,1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Nabava lektire sredstva MZOM 570€ prema Odluci MZOM, te udžbenici i nabava knjiga iz vlastitih izvora.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138.263,82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 2025. ostvareni su prihodi u iznosu 1.938.371,56 a rashodi 2.076.635,38€ što iznosi UKUPAN MANJAK PRIHODA  -138.134,38€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Uspostavljanjem objedinjene glavne knjige s osnivačem uočena je razlika u rezultatu na IF pomoći te pregledavanjem unazad nekoliko godina nismo mogli naći pogrešku a koja je nastala nenamjernom pogreškom Odlukom je ispravljen rezultat na IF pomoći za 527,6</w:t>
      </w:r>
      <w:r>
        <w:t>7€ smanjenje rezultata ispravci iz prethodnih godina, tako da rezultat početni višak 657,01€ umanjujemo za 527,57€ i rezultat je višak 129,44€.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138.263,82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 2025. ostvareni su prihodi u iznosu 1.938.371,56 a rashodi 2.076.635,38€ što iznosi MANJAK PRIHODA I PRIMITIKA -138.263,82€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</w:t>
            </w:r>
            <w:r>
              <w:rPr>
                <w:sz w:val="18"/>
              </w:rPr>
              <w:t xml:space="preserve">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Uspostavljanjem objedinjene glavne knjige s osnivačem uočena je razlika u rezultatu na IF pomoći te pregledavanjem unazad nekoliko godina nismo mogli naći pogrešku a koja je nastala nenamjernom pogreškom Odlukom je ispravljen rezultat na IF pomoći za 527,6</w:t>
      </w:r>
      <w:r>
        <w:t>7€ smanjenje rezultata ispravci iz prethodnih godina, tako da rezultat početni višak 657,01€ umanjujemo za 527,57€ i rezultat je višak 129,44€.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Višak  2024. 657,01€ 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138.134,38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Uspostavljanjem objedinjene glavne knjige s osnivačem uočena je razlika u rezultatu na IF pomoći te pregledavanjem unazad nekoliko godina nismo mogli naći pogrešku a koja je nastala nenamjernom pogreškom Odlukom je ispravljen rezultat na IF pomoći za 527,6</w:t>
      </w:r>
      <w:r>
        <w:t>7€ smanjenje rezultata ispravci iz prethodnih godina, tako da rezultat početni 657,01€ umanjujemo za 527,57€ i rezultat je višak 129,44€. U 2025. ostvareni su prihodi u iznosu 1.938.371,56 a rashodi 2.076.635,38€ što iznosi rezultat 922 -138.134,38€ MANJAK</w:t>
      </w:r>
      <w:r>
        <w:t xml:space="preserve"> PRIHODA I PRIMITAKA ZA POKRĆE U SLJEDEĆEM RAZDOBLJU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</w:t>
            </w:r>
            <w:r>
              <w:rPr>
                <w:sz w:val="18"/>
              </w:rPr>
              <w:t>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132.395,36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Konto 193 više ne koristimo od 2025. za </w:t>
      </w:r>
      <w:proofErr w:type="spellStart"/>
      <w:r>
        <w:t>kontinuitrane</w:t>
      </w:r>
      <w:proofErr w:type="spellEnd"/>
      <w:r>
        <w:t xml:space="preserve"> rashode.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OŠ </w:t>
      </w:r>
      <w:proofErr w:type="spellStart"/>
      <w:r>
        <w:t>Okučani</w:t>
      </w:r>
      <w:proofErr w:type="spellEnd"/>
      <w:r>
        <w:t xml:space="preserve"> nema vlastiti žiro račun nego posluje preko županijske riznice Brodsko-posavske županije čiji smo proračunski korisnik, tako da iznos </w:t>
      </w:r>
      <w:proofErr w:type="spellStart"/>
      <w:r>
        <w:t>predtavlja</w:t>
      </w:r>
      <w:proofErr w:type="spellEnd"/>
      <w:r>
        <w:t xml:space="preserve"> samo uplatu u blagajnu prodaja iz školske zadruge i uplaćivanje na područan u Riznicu. </w:t>
      </w:r>
      <w:proofErr w:type="spellStart"/>
      <w:r>
        <w:t>Satnje</w:t>
      </w:r>
      <w:proofErr w:type="spellEnd"/>
      <w:r>
        <w:t xml:space="preserve"> je 0 n</w:t>
      </w:r>
      <w:r>
        <w:t>a početku i kraju godine.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iz državnog proračuna proračunskim </w:t>
            </w:r>
            <w:r>
              <w:rPr>
                <w:sz w:val="18"/>
              </w:rPr>
              <w:t>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1.669.416,40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1.774.083,31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tekuće pomoći za iznose </w:t>
      </w:r>
      <w:proofErr w:type="spellStart"/>
      <w:r>
        <w:t>povećenja</w:t>
      </w:r>
      <w:proofErr w:type="spellEnd"/>
      <w:r>
        <w:t xml:space="preserve"> osnovice plaće.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Kapitalne pomoći MZOM udžbenici te lektira.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Kapitalne pomoći Općina </w:t>
      </w:r>
      <w:proofErr w:type="spellStart"/>
      <w:r>
        <w:t>Okučani</w:t>
      </w:r>
      <w:proofErr w:type="spellEnd"/>
      <w:r>
        <w:t xml:space="preserve"> 3 klima jedinice te naglavni mikrofoni.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Otpremnina, zaposlenica je bila tehnološki višak spremač, zatvorena područna škola </w:t>
      </w:r>
      <w:proofErr w:type="spellStart"/>
      <w:r>
        <w:t>Smrtić</w:t>
      </w:r>
      <w:proofErr w:type="spellEnd"/>
      <w:r>
        <w:t xml:space="preserve"> a spremačica je bila zaposlena na 2 sata i to 2godine, stoga je iznos otpremnine manji 2/3 bruto plaće.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66.174,05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66.006,38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Prijevoz zaposlenika.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Obvezni zdravstveni pregledi zaposlenika i pomoćnika u nastavi.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Ugovor o djelu pravoslavni vjeronauk MZOM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Novčana naknada </w:t>
            </w:r>
            <w:r>
              <w:rPr>
                <w:sz w:val="18"/>
              </w:rPr>
              <w:t>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Novčana naknada za nezapošljavanje invalida koja se svake godine povećava </w:t>
      </w:r>
      <w:proofErr w:type="spellStart"/>
      <w:r>
        <w:t>snovica</w:t>
      </w:r>
      <w:proofErr w:type="spellEnd"/>
      <w:r>
        <w:t xml:space="preserve"> za naknadu: Naknada se obračunava kao 20% od propisane minimalne bruto plaće u Republici Hrvatskoj, koja za 2025. godinu iznosi 970,00 EUR.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 37221 imali smo sufinanciranje cijene prijevoza učenika s teškoćama u školskoj godini 2024/2025, u 2025/2026 toga nemamo.</w:t>
      </w:r>
    </w:p>
    <w:p w:rsidR="003E0046" w:rsidRDefault="00107848">
      <w:r>
        <w:t>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Udžbenici za učenike MZOM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250.849,21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331.106,58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02211 prijenos opreme </w:t>
      </w:r>
      <w:proofErr w:type="spellStart"/>
      <w:r>
        <w:t>Carnet</w:t>
      </w:r>
      <w:proofErr w:type="spellEnd"/>
      <w:r>
        <w:t xml:space="preserve"> Odluka o prijenosu vlasništva.</w:t>
      </w:r>
    </w:p>
    <w:p w:rsidR="003E0046" w:rsidRDefault="00107848">
      <w:r>
        <w:t>Temeljem ove odluke proizvedena dugotrajna imovina je isknjižena s konta 99611/99111 a sredstva su evidentirana u knjigovodstvenoj evidenciji tako da se prati stvarno stanje nastalog poslovnog događaja.</w:t>
      </w:r>
    </w:p>
    <w:p w:rsidR="003E0046" w:rsidRDefault="00107848">
      <w:r>
        <w:t>Nabavna vrijednost dobivenih sredstava 02211/91512, unos dobivenih sredstva ispravak vrijednosti 91512/02922, povećanje vlastitih izvora preko skupine  91512/91111.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Nabava naglavnih mikrofona pomoć Općina </w:t>
      </w:r>
      <w:proofErr w:type="spellStart"/>
      <w:r>
        <w:t>Okučani</w:t>
      </w:r>
      <w:proofErr w:type="spellEnd"/>
      <w:r>
        <w:t>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Oprema za održavanje i </w:t>
            </w:r>
            <w:r>
              <w:rPr>
                <w:sz w:val="18"/>
              </w:rPr>
              <w:t>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15.870,50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19.365,50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vrijednosti nabava klima uređaja 3 kom, pomoć Općina </w:t>
      </w:r>
      <w:proofErr w:type="spellStart"/>
      <w:r>
        <w:t>Okučani</w:t>
      </w:r>
      <w:proofErr w:type="spellEnd"/>
      <w:r>
        <w:t>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</w:t>
            </w:r>
            <w:r>
              <w:rPr>
                <w:sz w:val="18"/>
              </w:rPr>
              <w:t xml:space="preserve">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251.834,45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315.824,59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02922 prijenos opreme </w:t>
      </w:r>
      <w:proofErr w:type="spellStart"/>
      <w:r>
        <w:t>Carnet</w:t>
      </w:r>
      <w:proofErr w:type="spellEnd"/>
      <w:r>
        <w:t xml:space="preserve"> Odluka o prijenosu vlasništva.</w:t>
      </w:r>
    </w:p>
    <w:p w:rsidR="003E0046" w:rsidRDefault="00107848">
      <w:r>
        <w:t>Nabavna vrijednost dobivenih sredstava 02211/91512, unos dobivenih sredstva ispravak vrijednosti 91512/02922, povećanje vlastitih izvora preko skupine  91512/91111.</w:t>
      </w:r>
    </w:p>
    <w:p w:rsidR="003E0046" w:rsidRDefault="00107848">
      <w:r>
        <w:t>I na dalje se ispravak vrijednosti ispravlja prosječnim godišnjim stopama linearnom metodom</w:t>
      </w:r>
      <w:r>
        <w:t>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vrijednosti nabava knjiga  udžbenici i lektira u iznosu 1.819,95€.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78.477,51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80.297,46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102,3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Nabava knjiga lektire i udžbenici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46.512,74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68.954,15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Povećanje sitnog inventara u iznosu 1.108,61€ nabava puhača za lišće, usisavač te </w:t>
      </w:r>
      <w:proofErr w:type="spellStart"/>
      <w:r>
        <w:t>preknjižavanje</w:t>
      </w:r>
      <w:proofErr w:type="spellEnd"/>
      <w:r>
        <w:t xml:space="preserve"> iznosa s zaliha sitnog inventara na sitni inventar u upotrebi, koje se nije vodilo ispravno.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Povećanje za potraživanje za refundacije bolovanja.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32.451,07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176.919,34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Potraživanja za tekuće i kapitalne pomoći iz proračuna koji im nije nadležan, potraživanje od MZOM za plaće i materijalna prava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Potraživanja za tekuće i kapitalne pomoći iz proračuna koji im nije nadležan, potraživanje od MZOM za plaće i materijalna prava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Potraživanja za tekuće pomoći iz proračuna koji im nije nadležan, potraživanje od MZOM za plaće i materijalna prava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25.901,24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Sastoji se od konta 16721 prema izvorima , te stanje konta 167216 od EU projekta 8.159,17€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132.395,36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Konto 193 kontinuirani rashodi se više ne koristi za knjiženje plaće koje smo do sada koristili s 31.12.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134.163,93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138.600,81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Plaća 12/2025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22.282,97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19.665,26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:rsidR="003E0046" w:rsidRDefault="003E0046">
      <w:pPr>
        <w:spacing w:after="0"/>
      </w:pPr>
    </w:p>
    <w:p w:rsidR="003E0046" w:rsidRDefault="00107848">
      <w:proofErr w:type="spellStart"/>
      <w:r>
        <w:t>Matterijalni</w:t>
      </w:r>
      <w:proofErr w:type="spellEnd"/>
      <w:r>
        <w:t xml:space="preserve"> rashodi za 12/2025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19.930,26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576,0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Sastoji se od konta 27511 Obveze za predujmove dane od institucija i tijela EU 11.788,80€, te obveze za refundaciju HZZO i povrat u proračun.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-138.134,38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-21024,7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Rezultat manjak prihoda u odnosu na rashode 138.134,38€.</w:t>
      </w:r>
    </w:p>
    <w:p w:rsidR="003E0046" w:rsidRDefault="00107848">
      <w:r>
        <w:t>Uspostavljanjem objedinjene glavne knjige s osnivačem uočena je razlika u rezultatu na IF pomoći te pregledavanjem unazad nekoliko godina nismo mogli naći pogrešku a koja je nastala nenamjernom pogreškom Odlukom je ispravljen rezultat na IF pomoći za 527,6</w:t>
      </w:r>
      <w:r>
        <w:t>7€ smanjenje rezultata ispravci iz prethodnih godina, tako da rezultat početni 657,01€ umanjujemo za 527,57€ i rezultat je višak 129,44€. U 2025. ostvareni su prihodi u iznosu 1.938.371,56 a rashodi 2.076.635,38€ što iznosi rezultat 922 -138.134,38€. Rezul</w:t>
      </w:r>
      <w:r>
        <w:t>tat je napravljen prema IF. koji je potreban radi uključivanja viška odnosno manjka u naš financijski plan.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104.526,70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U 2025. ostvaren je manjak prihoda poslovanja konto 92221 146.705,74€   po IF MZOM , IF EU </w:t>
      </w:r>
      <w:proofErr w:type="spellStart"/>
      <w:r>
        <w:t>Erasmus</w:t>
      </w:r>
      <w:proofErr w:type="spellEnd"/>
      <w:r>
        <w:t>, IF pomoć BPŽ prebijanjem s viškom prihoda poslovanja konto 92211 42.179,04€ po IF razlika je manjak prihoda poslovanja u iznosu 104.526,70€.</w:t>
      </w:r>
    </w:p>
    <w:p w:rsidR="003E0046" w:rsidRDefault="00107848">
      <w:r>
        <w:t>Početno stanje konta 92211 1.1. bilo je 34.132,06€ višak prihoda poslovanja, uspostavljanjem objedinjene glavne knjige s osnivačem uočena je razlika u rezultatu na IF pomoći te pregledavanjem unazad nekoliko godina nismo mogli naći pogrešku a koja je nasta</w:t>
      </w:r>
      <w:r>
        <w:t>la nenamjernom pogreškom Odlukom je ispravljen rezultat na IF pomoći za 527,57€ smanjenje rezultata ispravci iz prethodnih godina, tako da rezultat početni 657,01€ umanjujemo za 527,57€ i rezultat je višak 129,44€. Ostvareni višak financijski rezultat prem</w:t>
      </w:r>
      <w:r>
        <w:t>a IF u iznosu 14.199,41€ te umanjenje za Obveznu korekciju za kapitalni prijenos sredstva u iznosu 5.624,86€. što u konačnici  stanje kota 92211 iznosi 42.179,04€</w:t>
      </w:r>
    </w:p>
    <w:p w:rsidR="003E0046" w:rsidRDefault="00107848">
      <w:r>
        <w:t>Manjak prihoda poslovanja 92221 146.705,74€</w:t>
      </w:r>
    </w:p>
    <w:p w:rsidR="003E0046" w:rsidRDefault="00107848">
      <w:r>
        <w:t>Višak prihoda poslovanja  92211 42.179,04€ </w:t>
      </w:r>
    </w:p>
    <w:p w:rsidR="003E0046" w:rsidRDefault="00107848">
      <w:r>
        <w:t>razli</w:t>
      </w:r>
      <w:r>
        <w:t>ka manjak prihoda poslovanja 104.526,70€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33.475,05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33.607,68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Obveznom korekcijom rezultata prema čl.82 Pravilnika korigirani su iznosi kapitalnih pomoći a utrošeni su za nabavku nefinancijske imovine u iznosu 5.624,86€.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145.226,07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2217,2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Obračunati prihodi </w:t>
      </w:r>
      <w:proofErr w:type="spellStart"/>
      <w:r>
        <w:t>pozraživanja</w:t>
      </w:r>
      <w:proofErr w:type="spellEnd"/>
      <w:r>
        <w:t xml:space="preserve"> za tekuće pomoći iz proračuna koji im nije nadležan MZOM plaće i ostala </w:t>
      </w:r>
      <w:proofErr w:type="spellStart"/>
      <w:r>
        <w:t>mat.prava</w:t>
      </w:r>
      <w:proofErr w:type="spellEnd"/>
      <w:r>
        <w:t xml:space="preserve"> te kapitalne pomoći.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Obračunati prihodi </w:t>
      </w:r>
      <w:proofErr w:type="spellStart"/>
      <w:r>
        <w:t>pozraživanja</w:t>
      </w:r>
      <w:proofErr w:type="spellEnd"/>
      <w:r>
        <w:t xml:space="preserve"> za tekuće pomoći iz proračuna koji im nije nadležan MZOM plaće i ostala </w:t>
      </w:r>
      <w:proofErr w:type="spellStart"/>
      <w:r>
        <w:t>mat.prava</w:t>
      </w:r>
      <w:proofErr w:type="spellEnd"/>
      <w:r>
        <w:t xml:space="preserve"> te kapitalne pomoći.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Obračunati prihodi </w:t>
      </w:r>
      <w:proofErr w:type="spellStart"/>
      <w:r>
        <w:t>pozraživanja</w:t>
      </w:r>
      <w:proofErr w:type="spellEnd"/>
      <w:r>
        <w:t xml:space="preserve"> za tekuće pomoći iz proračuna koji im nije nadležan MZOM plaće i ostala </w:t>
      </w:r>
      <w:proofErr w:type="spellStart"/>
      <w:r>
        <w:t>mat.prava</w:t>
      </w:r>
      <w:proofErr w:type="spellEnd"/>
      <w:r>
        <w:t xml:space="preserve"> te kapitalne pomoći.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Prihodi od pruženih usluga, korištenje školske sportske dvorane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25,9</w:t>
            </w:r>
          </w:p>
        </w:tc>
      </w:tr>
    </w:tbl>
    <w:p w:rsidR="003E0046" w:rsidRDefault="003E0046">
      <w:pPr>
        <w:spacing w:after="0"/>
      </w:pPr>
    </w:p>
    <w:p w:rsidR="003E0046" w:rsidRDefault="00107848">
      <w:proofErr w:type="spellStart"/>
      <w:r>
        <w:t>Prenešena</w:t>
      </w:r>
      <w:proofErr w:type="spellEnd"/>
      <w:r>
        <w:t xml:space="preserve"> je tuđa imovina dobivena na korištenje Odluka o prijenosu vlasništva </w:t>
      </w:r>
      <w:proofErr w:type="spellStart"/>
      <w:r>
        <w:t>Carnet</w:t>
      </w:r>
      <w:proofErr w:type="spellEnd"/>
      <w:r>
        <w:t xml:space="preserve"> 99611/99111.</w:t>
      </w:r>
    </w:p>
    <w:p w:rsidR="003E0046" w:rsidRDefault="00107848">
      <w:r>
        <w:t>Potraživanja po ugovorima o bespovratnim sredstvima EU fondova Ugovor ERASMUS+ KA210-SCH Projekt MENS SANA IN CORPORE SANO od IC MANZONI RADIANCE-ITALIJA 14.736,00€ 99171/99671.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36.989,48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180.643,93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488,4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Potraživanja za tekuće pomoći </w:t>
      </w:r>
      <w:proofErr w:type="spellStart"/>
      <w:r>
        <w:t>proraračunskog</w:t>
      </w:r>
      <w:proofErr w:type="spellEnd"/>
      <w:r>
        <w:t xml:space="preserve"> korisnika iz proračuna koji im nije nadležan MZOM 16/96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Potraživanja za refundacije HZZO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Stanje dospjelih obveza za 2025. iznosi 1.444,44€ a odnosi se na račune za čije je dospijeće plaćanja 25.12.2025.,26.12. 2025., 15.12. te 27.12.2025. računi se odnose na prehranu iz 12.mjeseca te školska shema, te zbog </w:t>
      </w:r>
      <w:proofErr w:type="spellStart"/>
      <w:r>
        <w:t>kratgog</w:t>
      </w:r>
      <w:proofErr w:type="spellEnd"/>
      <w:r>
        <w:t xml:space="preserve"> vremena nije se moglo platiti</w:t>
      </w:r>
      <w:r>
        <w:t xml:space="preserve"> do datuma </w:t>
      </w:r>
      <w:proofErr w:type="spellStart"/>
      <w:r>
        <w:t>dospjeća</w:t>
      </w:r>
      <w:proofErr w:type="spellEnd"/>
      <w:r>
        <w:t>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156.066,85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156.821,63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Nedospjele obveze kako slijedi 156.821,63€</w:t>
      </w:r>
    </w:p>
    <w:p w:rsidR="003E0046" w:rsidRDefault="00107848">
      <w:r>
        <w:t>231 obveze za zaposlene 138.600,81€</w:t>
      </w:r>
    </w:p>
    <w:p w:rsidR="003E0046" w:rsidRDefault="00107848">
      <w:r>
        <w:t>232 za materijalne rashode 18.220,82€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11.788,80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ERASMUS+ KA210-SCH Projekt MENS SANA IN CORPORE SANO. Sredstva uplaćena na račun Brodsko-posavske županije čiji smo proračunski korisnik od IC MANZONI RADIANCE-ITALIJA kao koordinator, nama partnerima.  1. Ugovor iznosi na 14.736,00€ i to smo</w:t>
      </w:r>
      <w:r>
        <w:t xml:space="preserve"> knjižili na 99171/99671 2. Uplaćena sredstva 11.788,80€ 80% knjiženo na 16721/27511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Obveze za povrat u proračun-  zatvaranjem SNU obavijesti od strane porezne zatvaramo obveze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</w:t>
            </w:r>
            <w:r>
              <w:rPr>
                <w:sz w:val="18"/>
              </w:rPr>
              <w:t xml:space="preserve">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678,8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Obveze za povrat u proračun refundacije HZZO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poslovanja - </w:t>
            </w:r>
            <w:r>
              <w:rPr>
                <w:sz w:val="18"/>
              </w:rPr>
              <w:t>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Uspostavljanjem objedinjene glavne knjige s osnivačem uočena je razlika u rezultatu na IF pomoći te pregledavanjem unazad nekoliko godina nismo mogli naći pogrešku a </w:t>
      </w:r>
      <w:proofErr w:type="spellStart"/>
      <w:r>
        <w:t>kojaje</w:t>
      </w:r>
      <w:proofErr w:type="spellEnd"/>
      <w:r>
        <w:t>  nastala nenamjernom pogreškom Odlukom je ispravljen rezultat na IF pomoći za 527,6</w:t>
      </w:r>
      <w:r>
        <w:t>7€ smanjenje rezultata ispravci iz prethodnih godina, tako da rezultat početni 657,01€ umanjujemo za 527,57€ i rezultat je višak 129,44€ korekcija rezultata.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0046" w:rsidRDefault="003E0046">
      <w:pPr>
        <w:spacing w:after="0"/>
      </w:pPr>
    </w:p>
    <w:p w:rsidR="003E0046" w:rsidRDefault="00107848">
      <w:proofErr w:type="spellStart"/>
      <w:r>
        <w:t>Prenešena</w:t>
      </w:r>
      <w:proofErr w:type="spellEnd"/>
      <w:r>
        <w:t xml:space="preserve"> je tuđa imovina dobivena na korištenje prema Odluci o prijenosu vlasništva </w:t>
      </w:r>
      <w:proofErr w:type="spellStart"/>
      <w:r>
        <w:t>Carnet</w:t>
      </w:r>
      <w:proofErr w:type="spellEnd"/>
      <w:r>
        <w:t xml:space="preserve"> 99611/99111.</w:t>
      </w:r>
    </w:p>
    <w:p w:rsidR="003E0046" w:rsidRDefault="00107848">
      <w:r>
        <w:t>Temeljem ove odluke proizvedena dugotrajna imovina je isknjižena s konta 99611/99111 a sredstva su evidentirana u knjigovodstvenoj evidenciji tako da se prati stvarno stanje nastalog poslovnog događaja.</w:t>
      </w:r>
    </w:p>
    <w:p w:rsidR="003E0046" w:rsidRDefault="00107848">
      <w:r>
        <w:t>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ERASMUS+ KA210-SCH Projekt MENS SANA IN CORPORE SANO. Sredstva uplaćena na račun Brodsko-posavske županije čiji smo proračunski korisnik od IC MANZONI RADIANCE-ITALIJA kao koordinator, nama partnerima.  1. Ugovor iznosi na 14.736,00€ i to smo knjižili na 9</w:t>
      </w:r>
      <w:r>
        <w:t>9171/99671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1.793.498,58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2.076.635,38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Iznos suma razred 3 i razred 4 koji odgovara iznosu u PR-RAS Y0034. 2.076.635,38€.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1.727.863,59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2.016.416,10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Detalji stavke odnose se 0912 odnose se na </w:t>
      </w:r>
      <w:proofErr w:type="spellStart"/>
      <w:r>
        <w:t>zbrij</w:t>
      </w:r>
      <w:proofErr w:type="spellEnd"/>
      <w:r>
        <w:t xml:space="preserve"> razred 3 i razred 4 ali umanjeno za konto 32222 namirnice.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65.634,99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60.219,28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91,7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Stavka 096 Dodatne usluge u obrazovanju odnosi se na troškove namirnica koje smo </w:t>
      </w:r>
      <w:proofErr w:type="spellStart"/>
      <w:r>
        <w:t>utošili</w:t>
      </w:r>
      <w:proofErr w:type="spellEnd"/>
      <w:r>
        <w:t xml:space="preserve"> za prehranu učenika, 2025.godine iznosi 60.219,28€.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75.806,04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Obračun ispravka vrijednosti nefinancijske imovine za 2025. evidentira se preko promjene u vrijednosti nefinancijske imovine smanjenje konto 91511.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48.614,38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Promjene u obujmu proizvedene dugotrajne imovine u iznosu 48.614,38€ odnosi se na knjiženje Odluke o prijenosu prava vlasništva opreme CARNET. Temeljem ove odluke proizvedena dugotrajna imovina je isknjižena s konta 99611/99111 a sredstva su evidentirana u</w:t>
      </w:r>
      <w:r>
        <w:t xml:space="preserve"> knjigovodstvenoj evidenciji tako da se prati stvarno stanje nastalog poslovnog događaja.</w:t>
      </w:r>
    </w:p>
    <w:p w:rsidR="003E0046" w:rsidRDefault="00107848">
      <w:r>
        <w:t>Nabavna vrijednost dobivenih sredstava 02211/91512, unos dobivenih sredstva ispravak vrijednosti 91512/02922, povećanje vlastitih izvora preko skupine  91512/91111. V</w:t>
      </w:r>
      <w:r>
        <w:t>rijednost u P-VRIO je unesena s kartice osnovnog sredstva NV-IV, knjigovodstvena vrijednost.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Stanje dospjelih obveza za 2025. iznosi 1.444,44€ a odnosi se na račune za čije je dospijeće plaćanja 25.12.2025.,26.12. 2025., 15.12. te 27.12.2025. računi se odnose na prehranu iz 12.mjeseca te školska shema. 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3E00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8.141,46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 xml:space="preserve">Međusobne obveze </w:t>
      </w:r>
      <w:proofErr w:type="spellStart"/>
      <w:r>
        <w:t>obveze</w:t>
      </w:r>
      <w:proofErr w:type="spellEnd"/>
      <w:r>
        <w:t xml:space="preserve"> proračunskih korisnika za povrat u proračun bolovanje HZZO.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156.821,63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Nedospjele obveze odnose se na plaću 12/25 138.600,81€ i prijevoz zaposlenika 5.215,62€ te  obveze za materijalne rashode u iznosu 13.005,20€.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0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00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11.788,80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0046" w:rsidRDefault="001078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0046" w:rsidRDefault="003E0046">
      <w:pPr>
        <w:spacing w:after="0"/>
      </w:pPr>
    </w:p>
    <w:p w:rsidR="003E0046" w:rsidRDefault="00107848">
      <w:r>
        <w:t>Obveze  ERASMUS+ KA210-SCH Projekt MENS SANA IN CORPORE SANO. Sredstva uplaćena na račun Brodsko-posavske županije čiji smo proračunski korisnik od IC MANZONI RADIANCE-ITALIJA kao koordinator, nama partnerima. Uplaćena sredstva 11.788,80€ 80% knjiženo na 1</w:t>
      </w:r>
      <w:r>
        <w:t>6721/27511 .</w:t>
      </w:r>
    </w:p>
    <w:p w:rsidR="003E0046" w:rsidRDefault="003E0046"/>
    <w:p w:rsidR="003E0046" w:rsidRDefault="00107848">
      <w:pPr>
        <w:keepNext/>
        <w:spacing w:line="240" w:lineRule="auto"/>
        <w:jc w:val="center"/>
      </w:pPr>
      <w:r>
        <w:rPr>
          <w:sz w:val="28"/>
        </w:rPr>
        <w:t>Bilješka 87.</w:t>
      </w:r>
    </w:p>
    <w:p w:rsidR="003E0046" w:rsidRDefault="00107848">
      <w:pPr>
        <w:spacing w:line="240" w:lineRule="auto"/>
        <w:jc w:val="both"/>
      </w:pPr>
      <w:r>
        <w:rPr>
          <w:b/>
        </w:rPr>
        <w:t>EU izvještaj</w:t>
      </w:r>
    </w:p>
    <w:p w:rsidR="003E0046" w:rsidRDefault="00107848">
      <w:r>
        <w:t>EU izvještaj- 510-  ERASMUS+ KA210-SCH Projekt MENS SANA IN CORPORE SANO. Sredstva uplaćena na račun Brodsko-posavske županije čiji smo proračunski korisnik od IC MANZONI RADIANCE-ITALIJA kao koordinator, nama partne</w:t>
      </w:r>
      <w:r>
        <w:t>rima.  Projekt završava 2026. godine.</w:t>
      </w:r>
    </w:p>
    <w:p w:rsidR="003E0046" w:rsidRDefault="00107848">
      <w:r>
        <w:t>1. Ugovor iznosi na 14.736,00€ i to smo knjižili na 99171/99671</w:t>
      </w:r>
    </w:p>
    <w:p w:rsidR="003E0046" w:rsidRDefault="00107848">
      <w:r>
        <w:t xml:space="preserve">2. Uplaćena sredstva 11.788,80€ 80% knjiženo na 16721/27511, prema Ugovoru vode se na predujmovima , a prema </w:t>
      </w:r>
      <w:proofErr w:type="spellStart"/>
      <w:r>
        <w:t>zavrršnom</w:t>
      </w:r>
      <w:proofErr w:type="spellEnd"/>
      <w:r>
        <w:t xml:space="preserve"> priznatom Izviješću priznaje se pri</w:t>
      </w:r>
      <w:r>
        <w:t>hod</w:t>
      </w:r>
    </w:p>
    <w:p w:rsidR="003E0046" w:rsidRDefault="00107848">
      <w:r>
        <w:t>3. Ostvareni trošak 3.629,63€ knjižili na 32131/23213</w:t>
      </w:r>
    </w:p>
    <w:p w:rsidR="003E0046" w:rsidRDefault="003E0046"/>
    <w:sectPr w:rsidR="003E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46"/>
    <w:rsid w:val="00107848"/>
    <w:rsid w:val="003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5593E-931A-40D4-BB9C-F904A571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5082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Svjetlana</cp:lastModifiedBy>
  <cp:revision>2</cp:revision>
  <dcterms:created xsi:type="dcterms:W3CDTF">2026-02-06T06:56:00Z</dcterms:created>
  <dcterms:modified xsi:type="dcterms:W3CDTF">2026-02-06T06:56:00Z</dcterms:modified>
</cp:coreProperties>
</file>